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B92" w:rsidRDefault="00D81B92" w:rsidP="00B014C0">
      <w:pPr>
        <w:spacing w:line="480" w:lineRule="auto"/>
        <w:jc w:val="center"/>
      </w:pPr>
    </w:p>
    <w:p w:rsidR="00D81B92" w:rsidRDefault="00D81B92" w:rsidP="00B014C0">
      <w:pPr>
        <w:spacing w:line="480" w:lineRule="auto"/>
        <w:jc w:val="center"/>
      </w:pPr>
    </w:p>
    <w:p w:rsidR="00D81B92" w:rsidRDefault="00D81B92" w:rsidP="00B014C0">
      <w:pPr>
        <w:spacing w:line="480" w:lineRule="auto"/>
        <w:jc w:val="center"/>
      </w:pPr>
    </w:p>
    <w:p w:rsidR="00D81B92" w:rsidRDefault="00D81B92" w:rsidP="00B014C0">
      <w:pPr>
        <w:spacing w:line="480" w:lineRule="auto"/>
        <w:jc w:val="center"/>
      </w:pPr>
    </w:p>
    <w:p w:rsidR="00D81B92" w:rsidRDefault="00D81B92" w:rsidP="00B014C0">
      <w:pPr>
        <w:spacing w:line="480" w:lineRule="auto"/>
        <w:jc w:val="center"/>
      </w:pPr>
    </w:p>
    <w:p w:rsidR="00B014C0" w:rsidRDefault="00570EDF" w:rsidP="00B014C0">
      <w:pPr>
        <w:spacing w:line="480" w:lineRule="auto"/>
        <w:jc w:val="center"/>
      </w:pPr>
      <w:r>
        <w:t>Pa</w:t>
      </w:r>
      <w:r w:rsidR="007443DE">
        <w:t>dgett-Beale BOD Briefing Paper</w:t>
      </w:r>
      <w:r w:rsidR="00B014C0" w:rsidRPr="00B014C0">
        <w:t xml:space="preserve"> </w:t>
      </w:r>
    </w:p>
    <w:p w:rsidR="00B014C0" w:rsidRDefault="00B014C0" w:rsidP="00B014C0">
      <w:pPr>
        <w:spacing w:line="480" w:lineRule="auto"/>
        <w:jc w:val="center"/>
      </w:pPr>
      <w:r>
        <w:t>Name</w:t>
      </w:r>
    </w:p>
    <w:p w:rsidR="00B014C0" w:rsidRDefault="00B014C0" w:rsidP="00B014C0">
      <w:pPr>
        <w:spacing w:line="480" w:lineRule="auto"/>
        <w:jc w:val="center"/>
      </w:pPr>
      <w:r>
        <w:t>Institution</w:t>
      </w:r>
    </w:p>
    <w:p w:rsidR="00B014C0" w:rsidRDefault="00B014C0" w:rsidP="00B014C0">
      <w:pPr>
        <w:spacing w:line="480" w:lineRule="auto"/>
        <w:jc w:val="center"/>
      </w:pPr>
      <w:r>
        <w:t>Date</w:t>
      </w:r>
    </w:p>
    <w:p w:rsidR="00D81B92" w:rsidRDefault="00D81B92" w:rsidP="00B014C0">
      <w:pPr>
        <w:spacing w:line="480" w:lineRule="auto"/>
        <w:jc w:val="center"/>
      </w:pPr>
    </w:p>
    <w:p w:rsidR="00D81B92" w:rsidRDefault="00D81B92" w:rsidP="00B014C0">
      <w:pPr>
        <w:spacing w:line="480" w:lineRule="auto"/>
        <w:jc w:val="center"/>
      </w:pPr>
    </w:p>
    <w:p w:rsidR="00D81B92" w:rsidRDefault="00D81B92" w:rsidP="00B014C0">
      <w:pPr>
        <w:spacing w:line="480" w:lineRule="auto"/>
        <w:jc w:val="center"/>
      </w:pPr>
    </w:p>
    <w:p w:rsidR="00D81B92" w:rsidRDefault="00D81B92" w:rsidP="00B014C0">
      <w:pPr>
        <w:spacing w:line="480" w:lineRule="auto"/>
        <w:jc w:val="center"/>
      </w:pPr>
    </w:p>
    <w:p w:rsidR="00D81B92" w:rsidRDefault="00D81B92" w:rsidP="00B014C0">
      <w:pPr>
        <w:spacing w:line="480" w:lineRule="auto"/>
        <w:jc w:val="center"/>
      </w:pPr>
    </w:p>
    <w:p w:rsidR="00D81B92" w:rsidRDefault="00D81B92" w:rsidP="00B014C0">
      <w:pPr>
        <w:spacing w:line="480" w:lineRule="auto"/>
        <w:jc w:val="center"/>
      </w:pPr>
    </w:p>
    <w:p w:rsidR="00D81B92" w:rsidRDefault="00D81B92" w:rsidP="00B014C0">
      <w:pPr>
        <w:spacing w:line="480" w:lineRule="auto"/>
        <w:jc w:val="center"/>
      </w:pPr>
    </w:p>
    <w:p w:rsidR="00D81B92" w:rsidRDefault="00D81B92" w:rsidP="00B014C0">
      <w:pPr>
        <w:spacing w:line="480" w:lineRule="auto"/>
        <w:jc w:val="center"/>
      </w:pPr>
    </w:p>
    <w:p w:rsidR="007443DE" w:rsidRDefault="00B014C0" w:rsidP="00823CB5">
      <w:pPr>
        <w:spacing w:line="480" w:lineRule="auto"/>
        <w:jc w:val="center"/>
      </w:pPr>
      <w:r>
        <w:lastRenderedPageBreak/>
        <w:t>Padgett-Beale BOD Briefing Paper</w:t>
      </w:r>
    </w:p>
    <w:p w:rsidR="000C5204" w:rsidRPr="000C5204" w:rsidRDefault="000C5204" w:rsidP="00823CB5">
      <w:pPr>
        <w:spacing w:line="480" w:lineRule="auto"/>
        <w:jc w:val="center"/>
        <w:rPr>
          <w:b/>
        </w:rPr>
      </w:pPr>
      <w:r w:rsidRPr="000C5204">
        <w:rPr>
          <w:b/>
        </w:rPr>
        <w:t>Introduction.</w:t>
      </w:r>
    </w:p>
    <w:p w:rsidR="00460EC0" w:rsidRDefault="00460EC0" w:rsidP="00460EC0">
      <w:pPr>
        <w:spacing w:line="480" w:lineRule="auto"/>
        <w:ind w:firstLine="720"/>
      </w:pPr>
      <w:r>
        <w:t xml:space="preserve">The ICT sector has greatly developed in the last few years. Technology is utilized in every corner of the universe making it increasingly important to literally all facets of contemporary society. Usually, the ICT components are mutually dependent, and disruption of one device can affect the others in the company (Hindawi, 2016). Therefore, the management of </w:t>
      </w:r>
      <w:r w:rsidR="009B4C08">
        <w:t>cyber security</w:t>
      </w:r>
      <w:r>
        <w:t xml:space="preserve"> aspects becomes a fundamental aspect of every organization. The role of the board of Directors in the control and management of </w:t>
      </w:r>
      <w:r w:rsidR="009B4C08">
        <w:t>cyber security</w:t>
      </w:r>
      <w:r>
        <w:t xml:space="preserve"> cannot be undermined (Rebber, 2019). This briefing paper provides a brief analysis of Padgett-Beale Company with respect to </w:t>
      </w:r>
      <w:r w:rsidR="009B4C08">
        <w:t>cyber security</w:t>
      </w:r>
      <w:r>
        <w:t xml:space="preserve"> and privacy-related issues. It draws on accountability gap, roles and requirements of Boards of Directors, threats, vulnerability and the impacts of cyber attacks.</w:t>
      </w:r>
    </w:p>
    <w:p w:rsidR="00460EC0" w:rsidRPr="009B4C08" w:rsidRDefault="00460EC0" w:rsidP="009B4C08">
      <w:pPr>
        <w:spacing w:line="480" w:lineRule="auto"/>
        <w:ind w:firstLine="720"/>
        <w:jc w:val="center"/>
        <w:rPr>
          <w:b/>
        </w:rPr>
      </w:pPr>
      <w:r w:rsidRPr="009B4C08">
        <w:rPr>
          <w:b/>
        </w:rPr>
        <w:t>Discussion.</w:t>
      </w:r>
    </w:p>
    <w:p w:rsidR="00460EC0" w:rsidRDefault="00460EC0" w:rsidP="00460EC0">
      <w:pPr>
        <w:spacing w:line="480" w:lineRule="auto"/>
        <w:ind w:firstLine="720"/>
      </w:pPr>
      <w:r>
        <w:t xml:space="preserve">It is apparent that </w:t>
      </w:r>
      <w:r w:rsidR="009B4C08">
        <w:t>cyber security</w:t>
      </w:r>
      <w:r>
        <w:t xml:space="preserve"> and a solid Corporate Board of Directors in the context of Padgett-Beale are very critical components which are also connected to essential issues. The first issue is the threat of cyber espionage. The BOD is required to understand all the threats to cyber attacks. Potential attackers fall into two categories: spies with the intention of stealing crucial information and ordinary criminals with the intent of money gains (Cybersecurity Trends for Boards of Directors, 2019). This understanding will, therefore, aid the board to make efficient decisions on how to protect the organization from cyber attacks.</w:t>
      </w:r>
    </w:p>
    <w:p w:rsidR="00460EC0" w:rsidRDefault="00460EC0" w:rsidP="00460EC0">
      <w:pPr>
        <w:spacing w:line="480" w:lineRule="auto"/>
        <w:ind w:firstLine="720"/>
      </w:pPr>
      <w:r>
        <w:t xml:space="preserve">Secondly, the BOD should understand the vulnerabilities of the Company. To a larger extent, </w:t>
      </w:r>
      <w:r w:rsidR="009B4C08">
        <w:t>cyber security</w:t>
      </w:r>
      <w:r>
        <w:t xml:space="preserve"> is a race between defenders and attackers. It is indisputable that the ICT system of Padgett-Beale is very complex, but criminals are always busy probing for </w:t>
      </w:r>
      <w:r>
        <w:lastRenderedPageBreak/>
        <w:t xml:space="preserve">vulnerabilities in the system (Rebber, 2019). The defenders and managers can do everything to stop probe by attackers, but there are challenges which prove a daunting task to stop. Arguably, supply chain threats, which can allow the insertion of a hardware or software in the acquisition course of action; intentional or negligent acts by internal workers with the access to the data system; attacks with no recognized fix, even the vulnerabilities with known solutions can fail to be implemented because of financial constraints. </w:t>
      </w:r>
    </w:p>
    <w:p w:rsidR="00460EC0" w:rsidRDefault="00460EC0" w:rsidP="00460EC0">
      <w:pPr>
        <w:spacing w:line="480" w:lineRule="auto"/>
        <w:ind w:firstLine="720"/>
      </w:pPr>
      <w:r>
        <w:t>Thirdly, the BOD must understand the impacts of compromising the Padgett-Beale data system. A successful probe by attackers can compromise the integrity, confidentiality and the information contained in the ICT system (Rebber, 2019). Compromising such aspects will apparently put the security of data in the organization at stake and can also lead to closure at the extreme end.</w:t>
      </w:r>
    </w:p>
    <w:p w:rsidR="00460EC0" w:rsidRDefault="00460EC0" w:rsidP="00460EC0">
      <w:pPr>
        <w:spacing w:line="480" w:lineRule="auto"/>
        <w:ind w:firstLine="720"/>
      </w:pPr>
      <w:r>
        <w:t xml:space="preserve">The fourth issue is the accountability gap in the Company. Accountability is the liability of the Board of directors in an organization. Bringing the accountability gap has a profound impact on the management of </w:t>
      </w:r>
      <w:r w:rsidR="009B4C08">
        <w:t>cyber security</w:t>
      </w:r>
      <w:r>
        <w:t xml:space="preserve"> threats. According to a study by Tanium and </w:t>
      </w:r>
      <w:r w:rsidR="009B4C08">
        <w:t>NASDAQ</w:t>
      </w:r>
      <w:r>
        <w:t xml:space="preserve"> on how companies manage their own </w:t>
      </w:r>
      <w:r w:rsidR="009B4C08">
        <w:t>cyber security</w:t>
      </w:r>
      <w:r>
        <w:t xml:space="preserve"> susceptibility, it is clear that there is a huge gap between actual and presumed corporate promptness for data security cases (Hindawi, 2016). Moreover, the study revealed that the problem of </w:t>
      </w:r>
      <w:r w:rsidR="009B4C08">
        <w:t>cyber security</w:t>
      </w:r>
      <w:r>
        <w:t xml:space="preserve"> begins with the board of governors and not the techies as many managers suggested. Therefore, the study implies that huge companies holding confidential data like the Padgett-Beale Company are a potential target by cybercriminals and hence BOD should be very alert. Therefore, the Board of Directors has a significant role in the management of </w:t>
      </w:r>
      <w:r w:rsidR="009B4C08">
        <w:t>Cyber security</w:t>
      </w:r>
      <w:r>
        <w:t xml:space="preserve">. </w:t>
      </w:r>
    </w:p>
    <w:p w:rsidR="00460EC0" w:rsidRDefault="00460EC0" w:rsidP="00460EC0">
      <w:pPr>
        <w:spacing w:line="480" w:lineRule="auto"/>
        <w:ind w:firstLine="720"/>
      </w:pPr>
      <w:r>
        <w:lastRenderedPageBreak/>
        <w:t xml:space="preserve">The final issue is the roles and requirements of BOD regarding the containment of cyber attacks. Cyber-espionage can lead to the leakage of the Company's confidential information without the knowledge of the leaders (Rebber, 2019). Therefore, the BOD has the liability for acting and preventing all likely attacks to the Company's system. In alliance with the Federal governance, the BOD should perform their due diligence on the issues relating to </w:t>
      </w:r>
      <w:r w:rsidR="009B4C08">
        <w:t>cyber security</w:t>
      </w:r>
      <w:r>
        <w:t xml:space="preserve">. The most critical role of BOD in relation to </w:t>
      </w:r>
      <w:r w:rsidR="009B4C08">
        <w:t>cyber security</w:t>
      </w:r>
      <w:r>
        <w:t xml:space="preserve"> is the fiduciary duty. They have a legal obligation of taking care of the assets in Padgett- Beale Company. Data is one of the most crucial assets in a Company.</w:t>
      </w:r>
    </w:p>
    <w:p w:rsidR="00460EC0" w:rsidRPr="009B4C08" w:rsidRDefault="00460EC0" w:rsidP="009B4C08">
      <w:pPr>
        <w:spacing w:line="480" w:lineRule="auto"/>
        <w:ind w:firstLine="720"/>
        <w:jc w:val="center"/>
        <w:rPr>
          <w:b/>
        </w:rPr>
      </w:pPr>
      <w:r w:rsidRPr="009B4C08">
        <w:rPr>
          <w:b/>
        </w:rPr>
        <w:t>Recommendations</w:t>
      </w:r>
    </w:p>
    <w:p w:rsidR="00460EC0" w:rsidRDefault="00460EC0" w:rsidP="00460EC0">
      <w:pPr>
        <w:spacing w:line="480" w:lineRule="auto"/>
        <w:ind w:firstLine="720"/>
      </w:pPr>
      <w:r>
        <w:t xml:space="preserve">In order to effectively manage the </w:t>
      </w:r>
      <w:r w:rsidR="009B4C08">
        <w:t>cyber security</w:t>
      </w:r>
      <w:r>
        <w:t xml:space="preserve"> and ultimately mitigate the possibility of cyber theft, the Board of Directors of Padgett-Beale should adopt the following solutions. First, the BOD should </w:t>
      </w:r>
      <w:r w:rsidR="009B4C08">
        <w:t>endeavor</w:t>
      </w:r>
      <w:r>
        <w:t xml:space="preserve"> in bridging the accountability gap and also make sure that all its members are empowered, informed and educated about ways of ensuring data security in an organization.</w:t>
      </w:r>
    </w:p>
    <w:p w:rsidR="00460EC0" w:rsidRDefault="00460EC0" w:rsidP="00460EC0">
      <w:pPr>
        <w:spacing w:line="480" w:lineRule="auto"/>
        <w:ind w:firstLine="720"/>
      </w:pPr>
      <w:r>
        <w:t xml:space="preserve">Secondly, the BOD should assess the current posture of </w:t>
      </w:r>
      <w:r w:rsidR="009B4C08">
        <w:t>cyber security</w:t>
      </w:r>
      <w:r>
        <w:t xml:space="preserve"> in the Company (</w:t>
      </w:r>
      <w:r w:rsidR="009B4C08">
        <w:t>Cyber security</w:t>
      </w:r>
      <w:r>
        <w:t xml:space="preserve"> Trends for Boards of Directors, 2019). This will be possible through five ways: checking the status of the Company's operating system; checking the security of the system; checking the accessibility limits of the staff members; checking the available system back-ups; scrutinizing the password protection policy. </w:t>
      </w:r>
    </w:p>
    <w:p w:rsidR="00460EC0" w:rsidRDefault="00460EC0" w:rsidP="00460EC0">
      <w:pPr>
        <w:spacing w:line="480" w:lineRule="auto"/>
        <w:ind w:firstLine="720"/>
      </w:pPr>
      <w:r>
        <w:t xml:space="preserve">Thirdly, the BOD should adopt a strong security culture (Rebber, 2019). Despite, the attackers' constant probe on the company's database, strong security can be a great deal in harming their morale. Fourth, the BOD should ensure the operating system is updated. Software </w:t>
      </w:r>
      <w:r>
        <w:lastRenderedPageBreak/>
        <w:t xml:space="preserve">developers create updates that enhance the security of a system and the company strengthening its security features can use this strength. </w:t>
      </w:r>
    </w:p>
    <w:p w:rsidR="00460EC0" w:rsidRDefault="00460EC0" w:rsidP="00460EC0">
      <w:pPr>
        <w:spacing w:line="480" w:lineRule="auto"/>
        <w:ind w:firstLine="720"/>
      </w:pPr>
      <w:r>
        <w:t>Finally, the BOD should adopt a next-generation firewall. Modern firewalls unlike the old ones, intensely scrutinize traffic for malware and unusual behavior and hence a perfect way to enhanc</w:t>
      </w:r>
      <w:r w:rsidR="009B4C08">
        <w:t xml:space="preserve">e the security of Padgett-Beale </w:t>
      </w:r>
      <w:r>
        <w:t xml:space="preserve">Company. </w:t>
      </w:r>
    </w:p>
    <w:p w:rsidR="00460EC0" w:rsidRPr="009B4C08" w:rsidRDefault="00460EC0" w:rsidP="009B4C08">
      <w:pPr>
        <w:spacing w:line="480" w:lineRule="auto"/>
        <w:ind w:firstLine="720"/>
        <w:jc w:val="center"/>
        <w:rPr>
          <w:b/>
        </w:rPr>
      </w:pPr>
      <w:r w:rsidRPr="009B4C08">
        <w:rPr>
          <w:b/>
        </w:rPr>
        <w:t>Conclusion</w:t>
      </w:r>
    </w:p>
    <w:p w:rsidR="00460EC0" w:rsidRDefault="00460EC0" w:rsidP="00460EC0">
      <w:pPr>
        <w:spacing w:line="480" w:lineRule="auto"/>
        <w:ind w:firstLine="720"/>
      </w:pPr>
      <w:r>
        <w:t xml:space="preserve">It is apparent that Cyber espionage poses adverse impacts on compromising the integrity and confidentiality of data in Padgett-Beale Company and also in other organizations. This implies that the BOD must, and other responsible stakeholders should; understand their roles in the management of </w:t>
      </w:r>
      <w:r w:rsidR="009B4C08">
        <w:t>cyber security</w:t>
      </w:r>
      <w:r>
        <w:t xml:space="preserve">; reduce the accountability gap; probe cyber threats, investigate the company's vulnerability and evaluate the impacts of the attack. As such, the BOD should </w:t>
      </w:r>
      <w:r w:rsidR="009B4C08">
        <w:t>endeavor</w:t>
      </w:r>
      <w:r>
        <w:t xml:space="preserve"> in implementing the suggested recommendations to place a significant emphasis on </w:t>
      </w:r>
      <w:r w:rsidR="009B4C08">
        <w:t>cyber security</w:t>
      </w:r>
      <w:r>
        <w:t xml:space="preserve"> in Padgett-Beale Company.</w:t>
      </w:r>
    </w:p>
    <w:p w:rsidR="00460EC0" w:rsidRDefault="00460EC0" w:rsidP="00460EC0">
      <w:pPr>
        <w:spacing w:line="480" w:lineRule="auto"/>
        <w:jc w:val="center"/>
      </w:pPr>
    </w:p>
    <w:p w:rsidR="00460EC0" w:rsidRDefault="00460EC0" w:rsidP="00460EC0">
      <w:pPr>
        <w:spacing w:line="480" w:lineRule="auto"/>
        <w:jc w:val="center"/>
      </w:pPr>
    </w:p>
    <w:p w:rsidR="00460EC0" w:rsidRDefault="00460EC0" w:rsidP="00460EC0">
      <w:pPr>
        <w:spacing w:line="480" w:lineRule="auto"/>
        <w:jc w:val="center"/>
      </w:pPr>
    </w:p>
    <w:p w:rsidR="00D81B92" w:rsidRDefault="00D81B92" w:rsidP="00B014C0">
      <w:pPr>
        <w:spacing w:line="480" w:lineRule="auto"/>
        <w:jc w:val="center"/>
      </w:pPr>
    </w:p>
    <w:p w:rsidR="00D81B92" w:rsidRDefault="00D81B92" w:rsidP="00B014C0">
      <w:pPr>
        <w:spacing w:line="480" w:lineRule="auto"/>
        <w:jc w:val="center"/>
      </w:pPr>
    </w:p>
    <w:p w:rsidR="000C5204" w:rsidRDefault="000C5204" w:rsidP="00B014C0">
      <w:pPr>
        <w:spacing w:line="480" w:lineRule="auto"/>
        <w:jc w:val="center"/>
      </w:pPr>
    </w:p>
    <w:p w:rsidR="00D81B92" w:rsidRDefault="00D81B92" w:rsidP="003F5FCB">
      <w:pPr>
        <w:spacing w:line="480" w:lineRule="auto"/>
      </w:pPr>
    </w:p>
    <w:p w:rsidR="00146634" w:rsidRDefault="00146634" w:rsidP="00B014C0">
      <w:pPr>
        <w:spacing w:line="480" w:lineRule="auto"/>
        <w:jc w:val="center"/>
      </w:pPr>
      <w:r>
        <w:lastRenderedPageBreak/>
        <w:t>References</w:t>
      </w:r>
    </w:p>
    <w:p w:rsidR="00B014C0" w:rsidRDefault="005D4F7B" w:rsidP="00B014C0">
      <w:pPr>
        <w:pStyle w:val="Bibliography"/>
        <w:spacing w:line="480" w:lineRule="auto"/>
        <w:ind w:left="720" w:hanging="720"/>
        <w:rPr>
          <w:noProof/>
        </w:rPr>
      </w:pPr>
      <w:r>
        <w:fldChar w:fldCharType="begin"/>
      </w:r>
      <w:r w:rsidR="00B014C0">
        <w:instrText xml:space="preserve"> BIBLIOGRAPHY  \l 1033 </w:instrText>
      </w:r>
      <w:r>
        <w:fldChar w:fldCharType="separate"/>
      </w:r>
      <w:r w:rsidR="00B014C0" w:rsidRPr="001B2117">
        <w:rPr>
          <w:iCs/>
          <w:noProof/>
        </w:rPr>
        <w:t>Cybersecurity Trends for Boards of Directors</w:t>
      </w:r>
      <w:r w:rsidR="00B014C0">
        <w:rPr>
          <w:noProof/>
        </w:rPr>
        <w:t>. (2019, March 6). Retrieved from Corpgov.law.havard.edu: htps://corpgov.law.harvard.edu/2017/04/26/cybersecurity-trends-for-boards-of-directors/</w:t>
      </w:r>
    </w:p>
    <w:p w:rsidR="00B014C0" w:rsidRDefault="00B014C0" w:rsidP="00B014C0">
      <w:pPr>
        <w:pStyle w:val="Bibliography"/>
        <w:spacing w:line="480" w:lineRule="auto"/>
        <w:ind w:left="720" w:hanging="720"/>
        <w:rPr>
          <w:noProof/>
        </w:rPr>
      </w:pPr>
      <w:r>
        <w:rPr>
          <w:noProof/>
        </w:rPr>
        <w:t>Hindawi, O. T. (n.d.). Bridging the Accountability Gap: Why we need to adopt a culture of responsibility.</w:t>
      </w:r>
    </w:p>
    <w:p w:rsidR="00B014C0" w:rsidRDefault="00B014C0" w:rsidP="00B014C0">
      <w:pPr>
        <w:pStyle w:val="Bibliography"/>
        <w:spacing w:line="480" w:lineRule="auto"/>
        <w:ind w:left="720" w:hanging="720"/>
        <w:rPr>
          <w:noProof/>
        </w:rPr>
      </w:pPr>
      <w:r>
        <w:rPr>
          <w:noProof/>
        </w:rPr>
        <w:t xml:space="preserve">Rebber, G. (2019, March 6). </w:t>
      </w:r>
      <w:r>
        <w:rPr>
          <w:i/>
          <w:iCs/>
          <w:noProof/>
        </w:rPr>
        <w:t>Understand risk at the board level to tackle cyber securityissues</w:t>
      </w:r>
      <w:r>
        <w:rPr>
          <w:noProof/>
        </w:rPr>
        <w:t>. Retrieved from Infosecurity Magazine: https://www.infosecurity-magazine.com/opinions/corporate-board-responsibility/</w:t>
      </w:r>
    </w:p>
    <w:p w:rsidR="00B014C0" w:rsidRDefault="00B014C0" w:rsidP="00B014C0">
      <w:pPr>
        <w:pStyle w:val="Bibliography"/>
        <w:spacing w:line="480" w:lineRule="auto"/>
        <w:ind w:left="720" w:hanging="720"/>
        <w:rPr>
          <w:noProof/>
        </w:rPr>
      </w:pPr>
      <w:r w:rsidRPr="001B2117">
        <w:rPr>
          <w:iCs/>
          <w:noProof/>
        </w:rPr>
        <w:t>The Role of the Board of Directors</w:t>
      </w:r>
      <w:r>
        <w:rPr>
          <w:i/>
          <w:iCs/>
          <w:noProof/>
        </w:rPr>
        <w:t xml:space="preserve"> | AG Decision Maker</w:t>
      </w:r>
      <w:r>
        <w:rPr>
          <w:noProof/>
        </w:rPr>
        <w:t>. (2019, June 6). Retrieved from Extension.iastate.edu: https://www.extension.iastate.edu/agdm/wholefarm/html/c5-71.html</w:t>
      </w:r>
    </w:p>
    <w:p w:rsidR="00B014C0" w:rsidRDefault="005D4F7B" w:rsidP="00B014C0">
      <w:pPr>
        <w:spacing w:line="480" w:lineRule="auto"/>
        <w:ind w:hanging="720"/>
      </w:pPr>
      <w:r>
        <w:fldChar w:fldCharType="end"/>
      </w:r>
    </w:p>
    <w:sectPr w:rsidR="00B014C0" w:rsidSect="00B014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6319" w:rsidRDefault="00996319" w:rsidP="00B014C0">
      <w:pPr>
        <w:spacing w:after="0" w:line="240" w:lineRule="auto"/>
      </w:pPr>
      <w:r>
        <w:separator/>
      </w:r>
    </w:p>
  </w:endnote>
  <w:endnote w:type="continuationSeparator" w:id="1">
    <w:p w:rsidR="00996319" w:rsidRDefault="00996319" w:rsidP="00B014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6319" w:rsidRDefault="00996319" w:rsidP="00B014C0">
      <w:pPr>
        <w:spacing w:after="0" w:line="240" w:lineRule="auto"/>
      </w:pPr>
      <w:r>
        <w:separator/>
      </w:r>
    </w:p>
  </w:footnote>
  <w:footnote w:type="continuationSeparator" w:id="1">
    <w:p w:rsidR="00996319" w:rsidRDefault="00996319" w:rsidP="00B014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345" w:rsidRDefault="00BA5345">
    <w:pPr>
      <w:pStyle w:val="Header"/>
      <w:jc w:val="right"/>
    </w:pPr>
    <w:r>
      <w:t>PADGETT-BEALE</w:t>
    </w:r>
    <w:sdt>
      <w:sdtPr>
        <w:id w:val="12684808"/>
        <w:docPartObj>
          <w:docPartGallery w:val="Page Numbers (Top of Page)"/>
          <w:docPartUnique/>
        </w:docPartObj>
      </w:sdtPr>
      <w:sdtContent>
        <w:r>
          <w:t xml:space="preserve"> BOD BRIEFING PAPER                                                                               </w:t>
        </w:r>
        <w:fldSimple w:instr=" PAGE   \* MERGEFORMAT ">
          <w:r w:rsidR="009B4C08">
            <w:rPr>
              <w:noProof/>
            </w:rPr>
            <w:t>2</w:t>
          </w:r>
        </w:fldSimple>
      </w:sdtContent>
    </w:sdt>
  </w:p>
  <w:p w:rsidR="00BA5345" w:rsidRDefault="00BA53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345" w:rsidRDefault="00BA5345" w:rsidP="00B014C0">
    <w:pPr>
      <w:pStyle w:val="Header"/>
      <w:jc w:val="right"/>
    </w:pPr>
    <w:r>
      <w:t>Running head: PADGETT-BEALE BOD BRIEF</w:t>
    </w:r>
    <w:sdt>
      <w:sdtPr>
        <w:id w:val="12684751"/>
        <w:docPartObj>
          <w:docPartGallery w:val="Page Numbers (Top of Page)"/>
          <w:docPartUnique/>
        </w:docPartObj>
      </w:sdtPr>
      <w:sdtContent>
        <w:r>
          <w:t xml:space="preserve">ING PAPER                                                     </w:t>
        </w:r>
        <w:fldSimple w:instr=" PAGE   \* MERGEFORMAT ">
          <w:r w:rsidR="009B4C08">
            <w:rPr>
              <w:noProof/>
            </w:rPr>
            <w:t>1</w:t>
          </w:r>
        </w:fldSimple>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443DE"/>
    <w:rsid w:val="00061C78"/>
    <w:rsid w:val="000A5C2A"/>
    <w:rsid w:val="000C5204"/>
    <w:rsid w:val="001035A8"/>
    <w:rsid w:val="00146634"/>
    <w:rsid w:val="001720EE"/>
    <w:rsid w:val="00192899"/>
    <w:rsid w:val="001B2117"/>
    <w:rsid w:val="001C33E4"/>
    <w:rsid w:val="00225CC4"/>
    <w:rsid w:val="00266243"/>
    <w:rsid w:val="002A12B9"/>
    <w:rsid w:val="003256FD"/>
    <w:rsid w:val="003F5FCB"/>
    <w:rsid w:val="00460EC0"/>
    <w:rsid w:val="00570EDF"/>
    <w:rsid w:val="005831DB"/>
    <w:rsid w:val="005D4F7B"/>
    <w:rsid w:val="00614FA3"/>
    <w:rsid w:val="0070416F"/>
    <w:rsid w:val="00707778"/>
    <w:rsid w:val="00733B4A"/>
    <w:rsid w:val="007443DE"/>
    <w:rsid w:val="00751870"/>
    <w:rsid w:val="00752D82"/>
    <w:rsid w:val="0076018D"/>
    <w:rsid w:val="00823CB5"/>
    <w:rsid w:val="00951764"/>
    <w:rsid w:val="00994E35"/>
    <w:rsid w:val="00996319"/>
    <w:rsid w:val="009B4C08"/>
    <w:rsid w:val="009F4522"/>
    <w:rsid w:val="00A050C5"/>
    <w:rsid w:val="00AD2B84"/>
    <w:rsid w:val="00AE2AC5"/>
    <w:rsid w:val="00B014C0"/>
    <w:rsid w:val="00BA5345"/>
    <w:rsid w:val="00C47A50"/>
    <w:rsid w:val="00C62024"/>
    <w:rsid w:val="00C725CC"/>
    <w:rsid w:val="00CF7FB4"/>
    <w:rsid w:val="00D40355"/>
    <w:rsid w:val="00D73BEE"/>
    <w:rsid w:val="00D81B92"/>
    <w:rsid w:val="00DA0D43"/>
    <w:rsid w:val="00FC6A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4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4C0"/>
  </w:style>
  <w:style w:type="paragraph" w:styleId="Footer">
    <w:name w:val="footer"/>
    <w:basedOn w:val="Normal"/>
    <w:link w:val="FooterChar"/>
    <w:uiPriority w:val="99"/>
    <w:semiHidden/>
    <w:unhideWhenUsed/>
    <w:rsid w:val="00B014C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014C0"/>
  </w:style>
  <w:style w:type="paragraph" w:styleId="BalloonText">
    <w:name w:val="Balloon Text"/>
    <w:basedOn w:val="Normal"/>
    <w:link w:val="BalloonTextChar"/>
    <w:uiPriority w:val="99"/>
    <w:semiHidden/>
    <w:unhideWhenUsed/>
    <w:rsid w:val="00B014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4C0"/>
    <w:rPr>
      <w:rFonts w:ascii="Tahoma" w:hAnsi="Tahoma" w:cs="Tahoma"/>
      <w:sz w:val="16"/>
      <w:szCs w:val="16"/>
    </w:rPr>
  </w:style>
  <w:style w:type="paragraph" w:styleId="Bibliography">
    <w:name w:val="Bibliography"/>
    <w:basedOn w:val="Normal"/>
    <w:next w:val="Normal"/>
    <w:uiPriority w:val="37"/>
    <w:unhideWhenUsed/>
    <w:rsid w:val="00B014C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Reb19</b:Tag>
    <b:SourceType>InternetSite</b:SourceType>
    <b:Guid>{A0608833-9FC4-405F-B9A3-0D91AF5B03B1}</b:Guid>
    <b:LCID>0</b:LCID>
    <b:Author>
      <b:Author>
        <b:NameList>
          <b:Person>
            <b:Last>Rebber</b:Last>
            <b:First>G.</b:First>
          </b:Person>
        </b:NameList>
      </b:Author>
    </b:Author>
    <b:Title>Understand risk at the board level to tackle cyber securityissues</b:Title>
    <b:Year>2019</b:Year>
    <b:InternetSiteTitle>Infosecurity Magazine</b:InternetSiteTitle>
    <b:Month>March</b:Month>
    <b:Day>6</b:Day>
    <b:URL>https://www.infosecurity-magazine.com/opinions/corporate-board-responsibility/</b:URL>
    <b:RefOrder>2</b:RefOrder>
  </b:Source>
  <b:Source>
    <b:Tag>Cyb19</b:Tag>
    <b:SourceType>InternetSite</b:SourceType>
    <b:Guid>{385C27D0-A8ED-4E02-B980-7DC1D55354DF}</b:Guid>
    <b:LCID>0</b:LCID>
    <b:Title>Cybersecurity Trends for Boards of Directors</b:Title>
    <b:InternetSiteTitle>Corpgov.law.havard.edu</b:InternetSiteTitle>
    <b:Year>2019</b:Year>
    <b:Month>March</b:Month>
    <b:Day>6</b:Day>
    <b:URL>htps://corpgov.law.harvard.edu/2017/04/26/cybersecurity-trends-for-boards-of-directors/</b:URL>
    <b:RefOrder>3</b:RefOrder>
  </b:Source>
  <b:Source>
    <b:Tag>The19</b:Tag>
    <b:SourceType>InternetSite</b:SourceType>
    <b:Guid>{143D83E5-F25F-4DFF-A114-C00F89956504}</b:Guid>
    <b:LCID>0</b:LCID>
    <b:Title>The Role of the Board of Directors | AG Decision Maker</b:Title>
    <b:InternetSiteTitle>Extension.iastate.edu</b:InternetSiteTitle>
    <b:Year>2019</b:Year>
    <b:Month>June</b:Month>
    <b:Day>6</b:Day>
    <b:URL>https://www.extension.iastate.edu/agdm/wholefarm/html/c5-71.html</b:URL>
    <b:RefOrder>4</b:RefOrder>
  </b:Source>
  <b:Source>
    <b:Tag>Hin</b:Tag>
    <b:SourceType>JournalArticle</b:SourceType>
    <b:Guid>{BD40C612-1CB8-4FE6-AC98-E9878BBB2659}</b:Guid>
    <b:LCID>0</b:LCID>
    <b:Author>
      <b:Author>
        <b:NameList>
          <b:Person>
            <b:Last>Hindawi</b:Last>
            <b:First>O.,</b:First>
            <b:Middle>Tanium &amp; Nasdac.</b:Middle>
          </b:Person>
        </b:NameList>
      </b:Author>
    </b:Author>
    <b:Title>Bridging the Accountability Gap: Why we need to adopt a culture of responsibility</b:Title>
    <b:JournalName>Market Insite</b:JournalName>
    <b:Year>2016</b:Year>
    <b:Pages>7-11</b:Pages>
    <b:RefOrder>1</b:RefOrder>
  </b:Source>
</b:Sources>
</file>

<file path=customXml/itemProps1.xml><?xml version="1.0" encoding="utf-8"?>
<ds:datastoreItem xmlns:ds="http://schemas.openxmlformats.org/officeDocument/2006/customXml" ds:itemID="{CE3C88CE-ADD6-4007-9286-0000F3788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1066</Words>
  <Characters>6080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2019-03-06T16:32:00Z</dcterms:created>
  <dcterms:modified xsi:type="dcterms:W3CDTF">2019-03-06T16:32:00Z</dcterms:modified>
</cp:coreProperties>
</file>